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225"/>
        <w:tblW w:w="5037" w:type="dxa"/>
        <w:shd w:val="clear" w:color="auto" w:fill="E8E9EB"/>
        <w:tblCellMar>
          <w:left w:w="0" w:type="dxa"/>
          <w:right w:w="0" w:type="dxa"/>
        </w:tblCellMar>
        <w:tblLook w:val="04A0"/>
      </w:tblPr>
      <w:tblGrid>
        <w:gridCol w:w="5037"/>
      </w:tblGrid>
      <w:tr w:rsidR="00D776EA" w:rsidRPr="00D776EA" w:rsidTr="00D776EA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6EA" w:rsidRPr="00D776EA" w:rsidRDefault="00D776EA" w:rsidP="00D77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Қазақстан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ілім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ғылым министрінің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2016 жылғы 22 қаңтардағы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63 бұйрығына қосымша</w:t>
            </w:r>
          </w:p>
        </w:tc>
      </w:tr>
      <w:tr w:rsidR="00D776EA" w:rsidRPr="00D776EA" w:rsidTr="00D776EA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6EA" w:rsidRPr="00D776EA" w:rsidRDefault="00D776EA" w:rsidP="00D77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Қазақстан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ғылым министрінің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"Техникалық және кәсі</w:t>
            </w:r>
            <w:proofErr w:type="gram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ік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жүйесінде көрсетілетін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қызмет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стандарттарын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2015 жылғы 14 сәуірдегі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200 бұйрығына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3-қосымша</w:t>
            </w:r>
          </w:p>
        </w:tc>
      </w:tr>
    </w:tbl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"Техникалық және кәсіптік </w:t>
      </w:r>
      <w:proofErr w:type="spell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құжаттардың телнұсқаларын беру" </w:t>
      </w:r>
      <w:proofErr w:type="spell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өрсетілетін қызмет стандарты</w:t>
      </w:r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br/>
      </w:r>
      <w:bookmarkStart w:id="0" w:name="z13"/>
      <w:bookmarkEnd w:id="0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1.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Жалпы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ережелер</w:t>
      </w:r>
      <w:proofErr w:type="spellEnd"/>
    </w:p>
    <w:p w:rsidR="00D776EA" w:rsidRPr="00D776EA" w:rsidRDefault="00D776EA" w:rsidP="00D776EA">
      <w:pPr>
        <w:spacing w:after="0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1. "Техникалық және кәсіптік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телнұсқаларын беру"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қызметі (бұдан әрі -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қызмет)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ғылым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әрі -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әзірледі.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қызметті техникалық және кәсіптік, орта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ұйымдары (бұдан әрі -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көрсетеді.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Өтініштерді қабылдау және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нәтижелерін беру: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1) көрсетілетін қызметті берушінің кеңсесі;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"Азаматтарға арналған үкімет"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коммерциялық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акционерлік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қоғамы" (бұдан ә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-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корпорация) арқылы жүзеге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2.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қызметті көрсету тәртібі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4.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мерзімдері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қажетті құжаттарды тапсырған сәттен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- 20 күнтізбелік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үн;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жүгінген жағдайда қабылдау күні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мерзіміне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кірмейді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көрсетілетін қызметті алушының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тапсыру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 күтудің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ұқсат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ұзақ уақыты - 10 минут,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- 15 минут;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3) көрсетілген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көрсетілген қызметті алушыға қызмет көрсетудің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ұқсат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етілген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ең ұзақ уақыты - 30 минут,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- 20 минут.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5.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қағ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 ж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үзінде.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6.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нәтижесі - техникалық және кәсі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телнұсқасы.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нәтижесін беру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қағ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 ж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үзінде.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7.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тұлғаларға (бұдан ә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 -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көрсетіледі.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8.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ұмыс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1)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Қазақстан Республикасының заңнамасына сәйкес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жексенбі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күндерін қоспағанда, дүйсенбіден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сенбіні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қоса алғанда, сағат 13.00-ден 14.00-ге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түскі үзіліспен, сағат 9.00-ден сағат 18.00-ге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берушінің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кестесіне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2)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еңбек заңнамасына сәйкес,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жексенбі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күндерін қоспағанда, дүйсенбіден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сенбіні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қоса алғанда, түскі үзіліссіз сағат 9.00-ден сағат 20.00-ге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дейін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жұмыс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кестесіне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сәйкес.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көрсетілетін қызметті алушының таңдауы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көрсетіледі, қабылдау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жеделдеті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көрсетусіз "электрондық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кезек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күту" тәртібінде жүзеге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электрондық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кезекті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электрондық үкімет порталы (бұдан әрі - Портал) арқылы броньдауға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9. Көрсетілетін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інген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үшін қажетті құжаттар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тізбесі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4" w:anchor="z48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құжаттың жоғалу мән-жайлары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басқа да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себептері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(тегінің, атының, әкесі атының (бар болған жағдайда) өзгеруі, құжаттардың қабылданғанын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жарамсыздығы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толтыру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кезіндегі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қателер) баяндалған өтініш;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 құжат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салыстыру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үшін).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Құжаттарды қабылдаған адамның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аты-жөні, сондай-ақ, мөртабан,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кіріс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нөмірі және күні көрсетіле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5" w:anchor="z50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қабылданғаны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беру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корпорацияға: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6" w:anchor="z33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1-қосымшаға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техникалық және кәсіптік, орта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өтініш,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құжаттың жоғалу мән-жайлары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басқа да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себептері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(тегінің, атының, әкесі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атының (бар болған жағдайда) өзгеруі, жарамсыздығы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толтыру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кезіндегі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қателер)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баяндалады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 құжат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салыстыру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үшін).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Техникалық және кәсі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таратылған жағдайда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техникалық және кәсіптік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оқу орнының орналасқан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жеріндегі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мұрағатқа жүгінеді.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7" w:anchor="z23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9-тармағында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көрсетілген құжаттарды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тапсырған жағдайда көрсетілетін қызметті алушыға осы стандартқа </w:t>
      </w:r>
      <w:hyperlink r:id="rId8" w:anchor="z34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2-қосымшаға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сәйкес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қабылданғаны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дайын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беру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куәландыратын құжатты көрсеткен жағдайда жүзеге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асырылады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нәтижесін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ай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сақтауды қамтамасыз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содан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оларды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әрі қарай сақтау үшін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тапсырады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ай өткеннен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жүгінген жағдайда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сұрауы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алушыға беру үшін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дайын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ресурс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табылатын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растайтын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құжаттың мәліметтерін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қызметкері "Электрондық үкімет" шлюзы арқылы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жүйелерден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беретін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егер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заңдарында өзгеше көзделмесе, ақпараттық жүйелердегі заңмен қорғалатын құпия мәліметтерді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пайдалану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жазбаша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келісімін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</w:t>
      </w:r>
      <w:proofErr w:type="spellStart"/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алушылардан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ақпараттық жүйелерден алуға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болатын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талап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етуге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жол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берілмейді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10.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9" w:anchor="z23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9-тармағында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көзделген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құжаттар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толық ұсынбаған жағдайда,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қызметкері өтінішті қабылдаудан бас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hyperlink r:id="rId10" w:anchor="z35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3-қосымшаға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 қабылдаудан бас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қолхат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3.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 мәселелері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"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корпорациясы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" коммерциялық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емес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акционерлік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қоғамы" және (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) олардың қызметкерлерінің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шешімдеріне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, әрекеттеріне (әрекетсіздігіне) шағымдану тәртібі.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11. Көрсетілетін қызметті берушінің және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оның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лауазымды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адамдарының,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шешімдеріне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әрекеттеріне (әрекетсіздігіне) шағым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жазбаша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түрде: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11" w:anchor="z30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14-тармағында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көрсетілген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Министрлік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алмастыратын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адамның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осы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 қызмет стандартының </w:t>
      </w:r>
      <w:hyperlink r:id="rId12" w:anchor="z30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14-тармағында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көрсетілген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мекенжайлар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басшысының, сондай-ақ республикалық маңызы бар қаланың және астананың, ауданның (облыстық маңызы бар қаланың)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тиісті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жергілікті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атқарушы органының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Шағымды қабылдаған адамның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 аты-жөні,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мерзімі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Министрліктің, көрсетілетін қызметті берушінің кеңсесінде,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(мөртабан,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нөмірі және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 шағымның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екінші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данасына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шағымның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ілеспе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хатына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қойылады) шағымның қабылданғанын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растау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болып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табылады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алушының шағымында оның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әкесінің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пошталық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телефоны көрсетіледі.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Көрсетілетін қызметті алушының Министрліктің, көрсетілетін қызметті берушінің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шағымы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күнінен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5 (бес) жұмыс күні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қаралуға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Шағымның қаралу нәтижесі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дәлелді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пошта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арқылы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жіберіледі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берушінің кеңсесінде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қолм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а-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қол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беріледі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Көрсетілген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нәтижелерімен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жағдайда,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әкілетті органға шағыммен жүгіне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сапасын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бағалау және бақылау жөніндегі уәкілетті органның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түскен көрсетілетін қызметті алушының шағымы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күннен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бастап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он бес жұмыс күні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ішінде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қаралуға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жатады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Шағым портал арқылы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жіберілген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кезде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 қызметті алушының "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кабинетінде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беруші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жаңартып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отыратын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өтініш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қосымша ақпарат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жеткізілуі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тіркелуі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орындалуы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қаралуы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қараудан бас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тартылуы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жауап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қол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жетімді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12. Көрсетілген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нәтижелерімен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келіспеген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жағдайда,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Қазақстан Республикасының заңнамасында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белгіленген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тәртіппен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сот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қа жүгінуге құқылы.</w:t>
      </w:r>
    </w:p>
    <w:p w:rsidR="00D776EA" w:rsidRPr="00D776EA" w:rsidRDefault="00D776EA" w:rsidP="00D776EA">
      <w:pPr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4.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қызмет көрсету, оның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ішінде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"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корпорациясы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" коммерциялық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емес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акционерлі</w:t>
      </w:r>
      <w:proofErr w:type="gram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к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қоғамы" арқылы көрсету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ерекшеліктері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ескеріле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отырып</w:t>
      </w:r>
      <w:proofErr w:type="spellEnd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 қойылатын өзге де </w:t>
      </w:r>
      <w:proofErr w:type="spellStart"/>
      <w:r w:rsidRPr="00D776EA">
        <w:rPr>
          <w:rFonts w:ascii="Times New Roman" w:eastAsia="Times New Roman" w:hAnsi="Times New Roman" w:cs="Times New Roman"/>
          <w:color w:val="1E1E1E"/>
          <w:sz w:val="24"/>
          <w:szCs w:val="24"/>
        </w:rPr>
        <w:t>талаптар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13.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Организм функцияларының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тіршілік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әрекетін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шектейтін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денсаулығы тұрақты бұзылған көрсетілетін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алушылар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қажет болған жағдайда бірыңғай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орталығының 1414, 8 800 080 7777 нөмірлеріне жүгінгенде,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 қызметкері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қызметті көрсету үшін құжат қабылдауды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олардың тұ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ғылықты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жерінде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жүргізіледі.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14.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орындарының мекенжайларының: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1) Министрліктің: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www.edu.gov.kz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корпорацияның: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www.con.gov.kz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интернет-ресурсында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орналастырылған.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15.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Көрсетілетін қызметті алушының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тәртібі және мәртебесі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ақпаратты қашықтықтан қол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жеткізу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режимінде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порталдағы "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жеке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кабинеті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", сондай-ақ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 арқылы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мүмкіндігі бар.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16. Анықтама қызметтерінің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телефондары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Министрліктің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www.edu.gov.kz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интернет-ресурсында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орналастырылған.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мәселелері жөніндегі бірыңғай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орталығы: 1414.</w:t>
      </w:r>
    </w:p>
    <w:tbl>
      <w:tblPr>
        <w:tblW w:w="13380" w:type="dxa"/>
        <w:shd w:val="clear" w:color="auto" w:fill="E8E9EB"/>
        <w:tblCellMar>
          <w:left w:w="0" w:type="dxa"/>
          <w:right w:w="0" w:type="dxa"/>
        </w:tblCellMar>
        <w:tblLook w:val="04A0"/>
      </w:tblPr>
      <w:tblGrid>
        <w:gridCol w:w="2343"/>
        <w:gridCol w:w="11037"/>
      </w:tblGrid>
      <w:tr w:rsidR="00D776EA" w:rsidRPr="00D776EA" w:rsidTr="00D776EA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6EA" w:rsidRPr="00D776EA" w:rsidRDefault="00D776EA" w:rsidP="00D77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6EA" w:rsidRPr="00D776EA" w:rsidRDefault="00D776EA" w:rsidP="00D77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z33"/>
            <w:bookmarkEnd w:id="1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"Техникалық және кәсіптік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құжаттардың телнұсқаларын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беру"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өрсетілетін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қызмет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стандартына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1-қосымша</w:t>
            </w:r>
          </w:p>
        </w:tc>
      </w:tr>
    </w:tbl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/оқу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орны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басшысының Т.А.Ә.(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егер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болса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толық/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/көрсетілетін қызметті алушының Т.А.Ә.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егер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болса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 толық/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/оқу орнының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бітірген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жылы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______________________ мамандығы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(мамандық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өзгерген жағдайда оқу орнының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және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</w:p>
    <w:p w:rsidR="00D776EA" w:rsidRPr="00D776EA" w:rsidRDefault="00D776EA" w:rsidP="00D776EA">
      <w:pPr>
        <w:spacing w:before="225" w:after="135" w:line="39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Өтініш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Маған _______________________________________________________________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/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себебін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көрсету/_____________________________________________________________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___________________________________________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дипломның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телнұсқасын беруіңізді сұраймын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Ақпараттық жүйелерде қамтылған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ң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мен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қорғалатын құпияларды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құрайтын мәліметтерді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пайдалану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келісемін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"___" ______________ 20 ж. _________________</w:t>
      </w:r>
    </w:p>
    <w:p w:rsid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/қолы/</w:t>
      </w: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"Техникалық және кәсіптік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телнұсқаларын</w:t>
      </w: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беру"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өрсетілетін</w:t>
      </w: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 xml:space="preserve">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  <w:t>2-қосымшаысан</w:t>
      </w:r>
    </w:p>
    <w:p w:rsidR="00D776EA" w:rsidRPr="00D776EA" w:rsidRDefault="00D776EA" w:rsidP="00D776EA">
      <w:pPr>
        <w:spacing w:before="225" w:after="135" w:line="39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Құжаттардың</w:t>
      </w:r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br/>
        <w:t xml:space="preserve">қабылданғаны </w:t>
      </w:r>
      <w:proofErr w:type="spell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қолхат № ___________</w:t>
      </w:r>
    </w:p>
    <w:p w:rsid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</w:t>
      </w: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"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Азаматтар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ға арналған үкімет"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коммерциялық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акционерлік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қоғамы" филиалының № __________ бө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імі/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техникалық және кәсі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пт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ік, орта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Одан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_______________________________________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мынадай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алынды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(көрсетілетін қызметті алушының Т.А.Ә. (бар болған жағдайда)</w:t>
      </w:r>
      <w:proofErr w:type="gramEnd"/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1. Өтініш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2. Басқа 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қызметкерінің/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ұйымы қызметкерінің Т.А.Ә.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(бар болған жағдайда) _________ (қолы)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Алдым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көрсетілетін қызметті алушының қолы</w:t>
      </w:r>
    </w:p>
    <w:p w:rsid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 ___ ж. "___" ______________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5489" w:type="dxa"/>
        <w:tblInd w:w="4328" w:type="dxa"/>
        <w:shd w:val="clear" w:color="auto" w:fill="E8E9EB"/>
        <w:tblCellMar>
          <w:left w:w="0" w:type="dxa"/>
          <w:right w:w="0" w:type="dxa"/>
        </w:tblCellMar>
        <w:tblLook w:val="04A0"/>
      </w:tblPr>
      <w:tblGrid>
        <w:gridCol w:w="5489"/>
      </w:tblGrid>
      <w:tr w:rsidR="00D776EA" w:rsidRPr="00D776EA" w:rsidTr="00D776EA"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6EA" w:rsidRPr="00D776EA" w:rsidRDefault="00D776EA" w:rsidP="00D776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z35"/>
            <w:bookmarkEnd w:id="2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"Техникалық және кәсіптік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құжаттардың телнұсқаларын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беру"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өрсетілетін</w:t>
            </w:r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қызмет </w:t>
            </w:r>
            <w:proofErr w:type="spellStart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стандартына</w:t>
            </w:r>
            <w:proofErr w:type="spellEnd"/>
            <w:r w:rsidRPr="00D7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3-қосымша</w:t>
            </w:r>
          </w:p>
        </w:tc>
      </w:tr>
    </w:tbl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Нысан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Көрсетілетін қызметті алушының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әкесінің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(бұдан ә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 — Т.А.Ә.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(бар болған жағдайда)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немесе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қызметті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алушы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ұйымының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</w:t>
      </w:r>
    </w:p>
    <w:p w:rsidR="00D776EA" w:rsidRPr="00D776EA" w:rsidRDefault="00D776EA" w:rsidP="00D776EA">
      <w:pPr>
        <w:spacing w:after="36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(көрсетілетін қызмет алушының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</w:p>
    <w:p w:rsidR="00D776EA" w:rsidRPr="00D776EA" w:rsidRDefault="00D776EA" w:rsidP="00D776EA">
      <w:pPr>
        <w:spacing w:before="225" w:after="135" w:line="390" w:lineRule="atLeast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</w:rPr>
      </w:pPr>
    </w:p>
    <w:p w:rsidR="00D776EA" w:rsidRPr="00D776EA" w:rsidRDefault="00D776EA" w:rsidP="00D776EA">
      <w:pPr>
        <w:spacing w:before="225" w:after="135" w:line="390" w:lineRule="atLeast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Құжаттарды қабылдаудан бас </w:t>
      </w:r>
      <w:proofErr w:type="gram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тартқаны</w:t>
      </w:r>
      <w:proofErr w:type="gram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қолхат</w:t>
      </w:r>
    </w:p>
    <w:p w:rsidR="00D776EA" w:rsidRPr="00D776EA" w:rsidRDefault="00D776EA" w:rsidP="00D776EA">
      <w:pPr>
        <w:spacing w:after="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қызметтер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2013 жылғы 15 сәуірдегі Қазақстан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Республикасы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Заңының </w:t>
      </w:r>
      <w:hyperlink r:id="rId13" w:anchor="z24" w:history="1">
        <w:r w:rsidRPr="00D776EA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</w:rPr>
          <w:t>20-бабының</w:t>
        </w:r>
      </w:hyperlink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2-тармағын басшылыққа ала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"Азаматтарға арналған үкімет"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" коммерциялық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емес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акционерлік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қоғамы" филиалының № бөлімі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көрсетілетін)/ техникалық және кәсіптік, орта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ұйымы ___________________________________ (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мекенжайы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көрсетілсін) Сіздің "Техникалық және кәсіптік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құжаттардың телнұсқаларын беру"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өрсетілетін қызмет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стандартында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көзделген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тізбеге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сәйкес _________ толық құжаттар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ұсынбауыңызға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байланысты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қызмет көрсету үшін құжаттарды қабылдаудан бас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атап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айтқанда: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Жоқ құжаттардың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      1) ____________________;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2) ____________________;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3)....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Осы қолхат ә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тарапқа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бір-бірден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2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данада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жасалды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Мемлекетті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spellEnd"/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корпорация қызметкерінің/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бі</w:t>
      </w:r>
      <w:proofErr w:type="gram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proofErr w:type="gram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беру ұйымы қызметкерінің Т.А.Ә.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(бар болған жағдайда) _________ (қолы)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Орындаушының Т.А.Ә.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Телефоны __________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Алдым</w:t>
      </w:r>
      <w:proofErr w:type="spellEnd"/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Т.А.Ә. /көрсетілетін қызметті алушының қолы</w:t>
      </w:r>
    </w:p>
    <w:p w:rsidR="00D776EA" w:rsidRPr="00D776EA" w:rsidRDefault="00D776EA" w:rsidP="00D776EA">
      <w:pPr>
        <w:spacing w:after="360" w:line="285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D776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     20 ___ ж. "___" ______________</w:t>
      </w:r>
    </w:p>
    <w:p w:rsidR="000C18A8" w:rsidRPr="00D776EA" w:rsidRDefault="000C18A8" w:rsidP="00D776E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C18A8" w:rsidRPr="00D7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6EA"/>
    <w:rsid w:val="000C18A8"/>
    <w:rsid w:val="00D7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7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7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600013356" TargetMode="External"/><Relationship Id="rId13" Type="http://schemas.openxmlformats.org/officeDocument/2006/relationships/hyperlink" Target="https://adilet.zan.kz/kaz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1600013356" TargetMode="External"/><Relationship Id="rId12" Type="http://schemas.openxmlformats.org/officeDocument/2006/relationships/hyperlink" Target="https://adilet.zan.kz/kaz/docs/V16000133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1600013356" TargetMode="External"/><Relationship Id="rId11" Type="http://schemas.openxmlformats.org/officeDocument/2006/relationships/hyperlink" Target="https://adilet.zan.kz/kaz/docs/V1600013356" TargetMode="External"/><Relationship Id="rId5" Type="http://schemas.openxmlformats.org/officeDocument/2006/relationships/hyperlink" Target="https://adilet.zan.kz/kaz/docs/V15000112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docs/V1600013356" TargetMode="External"/><Relationship Id="rId4" Type="http://schemas.openxmlformats.org/officeDocument/2006/relationships/hyperlink" Target="https://adilet.zan.kz/kaz/docs/V1500011220" TargetMode="External"/><Relationship Id="rId9" Type="http://schemas.openxmlformats.org/officeDocument/2006/relationships/hyperlink" Target="https://adilet.zan.kz/kaz/docs/V1600013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2215</Words>
  <Characters>12630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2021-06-03T06:20:00Z</dcterms:created>
  <dcterms:modified xsi:type="dcterms:W3CDTF">2021-06-03T06:25:00Z</dcterms:modified>
</cp:coreProperties>
</file>